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AB" w:rsidRDefault="002839AB">
      <w:pPr>
        <w:tabs>
          <w:tab w:val="right" w:pos="8364"/>
          <w:tab w:val="left" w:pos="8496"/>
        </w:tabs>
        <w:jc w:val="both"/>
        <w:rPr>
          <w:rFonts w:ascii="Verdana" w:eastAsia="Times New Roman" w:hAnsi="Verdana"/>
          <w:b/>
          <w:bCs/>
          <w:kern w:val="2"/>
          <w:sz w:val="20"/>
          <w:szCs w:val="20"/>
        </w:rPr>
      </w:pPr>
    </w:p>
    <w:p w:rsidR="002839AB" w:rsidRDefault="00344997">
      <w:pPr>
        <w:tabs>
          <w:tab w:val="right" w:pos="8364"/>
          <w:tab w:val="left" w:pos="8496"/>
        </w:tabs>
        <w:jc w:val="both"/>
        <w:rPr>
          <w:rFonts w:ascii="Verdana" w:hAnsi="Verdana"/>
          <w:b/>
          <w:sz w:val="20"/>
          <w:szCs w:val="20"/>
          <w:u w:val="single"/>
        </w:rPr>
      </w:pPr>
      <w:r>
        <w:rPr>
          <w:rFonts w:ascii="Verdana" w:hAnsi="Verdana"/>
          <w:b/>
          <w:sz w:val="20"/>
          <w:szCs w:val="20"/>
          <w:u w:val="single"/>
        </w:rPr>
        <w:t>Media Release</w:t>
      </w:r>
      <w:r>
        <w:rPr>
          <w:rFonts w:ascii="Verdana" w:hAnsi="Verdana"/>
          <w:b/>
          <w:sz w:val="20"/>
          <w:szCs w:val="20"/>
          <w:u w:val="single"/>
        </w:rPr>
        <w:tab/>
        <w:t>Z</w:t>
      </w:r>
      <w:r>
        <w:rPr>
          <w:rFonts w:ascii="Verdana" w:hAnsi="Verdana"/>
          <w:b/>
          <w:sz w:val="20"/>
          <w:szCs w:val="20"/>
          <w:u w:val="single"/>
        </w:rPr>
        <w:t>u</w:t>
      </w:r>
      <w:r>
        <w:rPr>
          <w:rFonts w:ascii="Verdana" w:hAnsi="Verdana"/>
          <w:b/>
          <w:sz w:val="20"/>
          <w:szCs w:val="20"/>
          <w:u w:val="single"/>
        </w:rPr>
        <w:t>rich, 4th Ju</w:t>
      </w:r>
      <w:r>
        <w:rPr>
          <w:rFonts w:ascii="Verdana" w:hAnsi="Verdana"/>
          <w:b/>
          <w:sz w:val="20"/>
          <w:szCs w:val="20"/>
          <w:u w:val="single"/>
        </w:rPr>
        <w:t>ly</w:t>
      </w:r>
      <w:r>
        <w:rPr>
          <w:rFonts w:ascii="Verdana" w:hAnsi="Verdana"/>
          <w:b/>
          <w:sz w:val="20"/>
          <w:szCs w:val="20"/>
          <w:u w:val="single"/>
        </w:rPr>
        <w:t xml:space="preserve"> 2023</w:t>
      </w: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sz w:val="20"/>
          <w:szCs w:val="20"/>
        </w:rPr>
      </w:pPr>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Verdana" w:hAnsi="Verdana"/>
          <w:i/>
          <w:sz w:val="20"/>
          <w:szCs w:val="20"/>
        </w:rPr>
        <w:t>Swiss Real Estate Offer Index</w:t>
      </w: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b/>
          <w:sz w:val="20"/>
          <w:szCs w:val="20"/>
        </w:rPr>
      </w:pPr>
    </w:p>
    <w:p w:rsidR="002839AB" w:rsidRDefault="00344997">
      <w:pPr>
        <w:pStyle w:val="CompatilFact"/>
        <w:spacing w:before="0"/>
        <w:jc w:val="both"/>
      </w:pPr>
      <w:r>
        <w:rPr>
          <w:rFonts w:ascii="Verdana" w:hAnsi="Verdana"/>
          <w:b/>
          <w:sz w:val="24"/>
        </w:rPr>
        <w:t>Stable house and flat prices, slightly falling rents</w:t>
      </w:r>
    </w:p>
    <w:p w:rsidR="002839AB" w:rsidRDefault="002839AB">
      <w:pPr>
        <w:pStyle w:val="CompatilFact"/>
        <w:spacing w:before="0"/>
        <w:jc w:val="both"/>
      </w:pPr>
    </w:p>
    <w:p w:rsidR="002839AB" w:rsidRDefault="00344997">
      <w:pPr>
        <w:pStyle w:val="CompatilFact"/>
        <w:jc w:val="both"/>
      </w:pPr>
      <w:r>
        <w:rPr>
          <w:rFonts w:ascii="Verdana" w:hAnsi="Verdana"/>
          <w:b/>
          <w:color w:val="000000" w:themeColor="text1"/>
        </w:rPr>
        <w:t>The price expectations of home sellers hardly changed in June: While a slight increase was recorded for single-family ho</w:t>
      </w:r>
      <w:r>
        <w:rPr>
          <w:rFonts w:ascii="Verdana" w:hAnsi="Verdana"/>
          <w:b/>
          <w:color w:val="000000" w:themeColor="text1"/>
        </w:rPr>
        <w:t>me</w:t>
      </w:r>
      <w:r>
        <w:rPr>
          <w:rFonts w:ascii="Verdana" w:hAnsi="Verdana"/>
          <w:b/>
          <w:color w:val="000000" w:themeColor="text1"/>
        </w:rPr>
        <w:t xml:space="preserve">s, there </w:t>
      </w:r>
      <w:r>
        <w:rPr>
          <w:rFonts w:ascii="Verdana" w:hAnsi="Verdana"/>
          <w:b/>
          <w:color w:val="000000" w:themeColor="text1"/>
        </w:rPr>
        <w:t>was a minimal decrease for condominiums. There is also a temporary respite for those currently looking for a rental flat.</w:t>
      </w:r>
    </w:p>
    <w:p w:rsidR="002839AB" w:rsidRDefault="002839AB">
      <w:pPr>
        <w:pStyle w:val="CompatilFact"/>
        <w:jc w:val="both"/>
        <w:rPr>
          <w:rFonts w:ascii="Verdana" w:hAnsi="Verdana"/>
          <w:b/>
        </w:rPr>
      </w:pPr>
    </w:p>
    <w:p w:rsidR="002839AB" w:rsidRDefault="00344997">
      <w:pPr>
        <w:pStyle w:val="CompatilFact"/>
        <w:jc w:val="both"/>
      </w:pPr>
      <w:r>
        <w:rPr>
          <w:rFonts w:ascii="Verdana" w:hAnsi="Verdana"/>
          <w:b/>
        </w:rPr>
        <w:t>Houses slightly more expensive, flats somewhat cheaper</w:t>
      </w:r>
    </w:p>
    <w:p w:rsidR="002839AB" w:rsidRDefault="00344997">
      <w:pPr>
        <w:pStyle w:val="CompatilFact"/>
        <w:jc w:val="both"/>
      </w:pPr>
      <w:r>
        <w:rPr>
          <w:rFonts w:ascii="Verdana" w:hAnsi="Verdana"/>
        </w:rPr>
        <w:t>Prices for single-family homes published in advertisements rose slightly in Ju</w:t>
      </w:r>
      <w:r>
        <w:rPr>
          <w:rFonts w:ascii="Verdana" w:hAnsi="Verdana"/>
        </w:rPr>
        <w:t>ne by +0.3 per cent. The Swiss Real Estate Offer Index, published by the SMG Swiss Marketplace Group in cooperation with the real estate consultancy IAZI, shows that condominium sellers expect slightly lower values of -0.4 per cent.</w:t>
      </w:r>
    </w:p>
    <w:p w:rsidR="002839AB" w:rsidRDefault="00344997">
      <w:pPr>
        <w:pStyle w:val="CompatilFact"/>
        <w:jc w:val="both"/>
      </w:pPr>
      <w:r>
        <w:rPr>
          <w:rFonts w:ascii="Verdana" w:hAnsi="Verdana"/>
        </w:rPr>
        <w:t>"</w:t>
      </w:r>
      <w:r>
        <w:rPr>
          <w:rFonts w:ascii="Verdana" w:hAnsi="Verdana"/>
        </w:rPr>
        <w:t>The fact that the price spiral for home sales is currently turning somewhat more slowly is underpinned by the longer-term supply trend over the last twelve months. In this period, advertised house prices have also risen by only 0.3 per cent, and those of c</w:t>
      </w:r>
      <w:r>
        <w:rPr>
          <w:rFonts w:ascii="Verdana" w:hAnsi="Verdana"/>
        </w:rPr>
        <w:t xml:space="preserve">ondominiums by 2.2 per cent. By way of comparison: </w:t>
      </w:r>
      <w:r>
        <w:rPr>
          <w:rFonts w:ascii="Verdana" w:hAnsi="Verdana"/>
        </w:rPr>
        <w:t>A</w:t>
      </w:r>
      <w:r>
        <w:rPr>
          <w:rFonts w:ascii="Verdana" w:hAnsi="Verdana"/>
        </w:rPr>
        <w:t>bout a year ago, the annual growth rates for houses and flats were 8 per cent and higher," says Martin Waeber, Managing Director Real Estate at SMG Swiss Marketplace Group, assessing the market situation.</w:t>
      </w:r>
    </w:p>
    <w:p w:rsidR="002839AB" w:rsidRDefault="00344997">
      <w:pPr>
        <w:pStyle w:val="CompatilFact"/>
        <w:jc w:val="both"/>
      </w:pPr>
      <w:r>
        <w:rPr>
          <w:rFonts w:ascii="Verdana" w:hAnsi="Verdana"/>
        </w:rPr>
        <w:t>The rising interest rate level with the recent increase by the Swiss National Bank to 1.75 per cent and the consequently higher financing costs for real estate are currently having a calming effect on the market with a view to potentially further price in</w:t>
      </w:r>
      <w:r>
        <w:rPr>
          <w:rFonts w:ascii="Verdana" w:hAnsi="Verdana"/>
        </w:rPr>
        <w:t>creases.</w:t>
      </w:r>
    </w:p>
    <w:p w:rsidR="002839AB" w:rsidRDefault="002839AB">
      <w:pPr>
        <w:pStyle w:val="CompatilFact"/>
        <w:jc w:val="both"/>
        <w:rPr>
          <w:rFonts w:ascii="Verdana" w:hAnsi="Verdana"/>
        </w:rPr>
      </w:pPr>
    </w:p>
    <w:p w:rsidR="002839AB" w:rsidRDefault="00344997">
      <w:pPr>
        <w:pStyle w:val="CompatilFact"/>
        <w:jc w:val="both"/>
      </w:pPr>
      <w:r>
        <w:rPr>
          <w:rFonts w:ascii="Verdana" w:hAnsi="Verdana"/>
          <w:b/>
        </w:rPr>
        <w:t>Asking rents down slightly in June</w:t>
      </w:r>
    </w:p>
    <w:p w:rsidR="002839AB" w:rsidRDefault="00344997">
      <w:pPr>
        <w:pStyle w:val="CompatilFact"/>
        <w:spacing w:after="240"/>
        <w:jc w:val="both"/>
      </w:pPr>
      <w:r>
        <w:rPr>
          <w:rFonts w:ascii="Verdana" w:hAnsi="Verdana"/>
        </w:rPr>
        <w:t>Last month brought good news for tenants looking for accommodation. The average asking rents published in advertisements fell by -0.7 per cent in the country. Regionally, the strongest declines were in Ticino (-</w:t>
      </w:r>
      <w:r>
        <w:rPr>
          <w:rFonts w:ascii="Verdana" w:hAnsi="Verdana"/>
        </w:rPr>
        <w:t xml:space="preserve">1.8 per cent) and in the greater Zurich region (-1.7 per cent), followed by the Lake Geneva region (-0.6 per cent). The change is smaller in </w:t>
      </w:r>
      <w:proofErr w:type="spellStart"/>
      <w:r>
        <w:rPr>
          <w:rFonts w:ascii="Verdana" w:hAnsi="Verdana"/>
        </w:rPr>
        <w:t>Northwestern</w:t>
      </w:r>
      <w:proofErr w:type="spellEnd"/>
      <w:r>
        <w:rPr>
          <w:rFonts w:ascii="Verdana" w:hAnsi="Verdana"/>
        </w:rPr>
        <w:t xml:space="preserve"> Switzerland (-0.3 per cent), Eastern Switzerland (-0.3 per cent) and Central Switzerland (-0.2 per cen</w:t>
      </w:r>
      <w:r>
        <w:rPr>
          <w:rFonts w:ascii="Verdana" w:hAnsi="Verdana"/>
        </w:rPr>
        <w:t>t), while a slight increase is visible in the Central Plateau (+0.4 per cent).</w:t>
      </w:r>
    </w:p>
    <w:p w:rsidR="002839AB" w:rsidRDefault="00344997">
      <w:pPr>
        <w:pStyle w:val="CompatilFact"/>
        <w:spacing w:after="240"/>
        <w:jc w:val="both"/>
      </w:pPr>
      <w:r>
        <w:rPr>
          <w:rFonts w:ascii="Verdana" w:hAnsi="Verdana"/>
        </w:rPr>
        <w:t>Given the strong immigration in the current year and the sluggish expansion of the rental housing stock, however, the easing will likely be only temporary. Within a year, asking</w:t>
      </w:r>
      <w:r>
        <w:rPr>
          <w:rFonts w:ascii="Verdana" w:hAnsi="Verdana"/>
        </w:rPr>
        <w:t xml:space="preserve"> rents have increased by an average of 3.1 per cent.</w:t>
      </w:r>
    </w:p>
    <w:p w:rsidR="002839AB" w:rsidRDefault="00344997">
      <w:pPr>
        <w:pStyle w:val="CompatilFact"/>
        <w:jc w:val="both"/>
      </w:pPr>
      <w:r>
        <w:rPr>
          <w:rFonts w:ascii="Verdana" w:hAnsi="Verdana"/>
        </w:rPr>
        <w:t>Date:</w:t>
      </w:r>
      <w:r>
        <w:rPr>
          <w:rFonts w:ascii="Verdana" w:hAnsi="Verdana"/>
        </w:rPr>
        <w:t xml:space="preserve"> 30</w:t>
      </w:r>
      <w:r>
        <w:rPr>
          <w:rFonts w:ascii="Verdana" w:hAnsi="Verdana"/>
        </w:rPr>
        <w:t>th</w:t>
      </w:r>
      <w:r>
        <w:rPr>
          <w:rFonts w:ascii="Verdana" w:hAnsi="Verdana"/>
        </w:rPr>
        <w:t xml:space="preserve"> Jun</w:t>
      </w:r>
      <w:r>
        <w:rPr>
          <w:rFonts w:ascii="Verdana" w:hAnsi="Verdana"/>
        </w:rPr>
        <w:t>e</w:t>
      </w:r>
      <w:r>
        <w:rPr>
          <w:rFonts w:ascii="Verdana" w:hAnsi="Verdana"/>
        </w:rPr>
        <w:t xml:space="preserve"> 2023</w:t>
      </w:r>
    </w:p>
    <w:p w:rsidR="002839AB" w:rsidRDefault="002839AB">
      <w:pPr>
        <w:pStyle w:val="CompatilFact"/>
        <w:spacing w:before="0"/>
        <w:jc w:val="both"/>
        <w:rPr>
          <w:rFonts w:ascii="Verdana" w:hAnsi="Verdana"/>
        </w:rPr>
      </w:pPr>
    </w:p>
    <w:p w:rsidR="002839AB" w:rsidRDefault="00344997">
      <w:pPr>
        <w:rPr>
          <w:rFonts w:ascii="Verdana" w:hAnsi="Verdana"/>
          <w:sz w:val="20"/>
          <w:szCs w:val="20"/>
        </w:rPr>
      </w:pPr>
      <w:r>
        <w:rPr>
          <w:rStyle w:val="Hyperlink1"/>
          <w:rFonts w:ascii="Verdana" w:hAnsi="Verdana"/>
          <w:i/>
          <w:color w:val="000000"/>
          <w:sz w:val="20"/>
          <w:szCs w:val="20"/>
          <w:u w:val="none"/>
        </w:rPr>
        <w:t>The Swiss Real Estate Offer Index is published on the websites of ImmoScout24 and IAZI AG.</w:t>
      </w: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hyperlink r:id="rId7">
        <w:r>
          <w:rPr>
            <w:rStyle w:val="Hyperlink1"/>
            <w:rFonts w:ascii="Verdana" w:hAnsi="Verdana"/>
            <w:sz w:val="20"/>
            <w:szCs w:val="20"/>
          </w:rPr>
          <w:t>www.immoscout24.ch/immobilienindex</w:t>
        </w:r>
      </w:hyperlink>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hyperlink r:id="rId8">
        <w:r>
          <w:rPr>
            <w:rStyle w:val="Hyperlink1"/>
            <w:rFonts w:ascii="Verdana" w:hAnsi="Verdana"/>
            <w:sz w:val="20"/>
            <w:szCs w:val="20"/>
          </w:rPr>
          <w:t>www.iazi.ch/angebotsindizes</w:t>
        </w:r>
      </w:hyperlink>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sz w:val="20"/>
          <w:szCs w:val="20"/>
        </w:rPr>
      </w:pPr>
    </w:p>
    <w:p w:rsidR="006D1F38" w:rsidRDefault="006D1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sz w:val="20"/>
          <w:szCs w:val="20"/>
        </w:rPr>
      </w:pPr>
    </w:p>
    <w:p w:rsidR="006D1F38" w:rsidRDefault="006D1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sz w:val="20"/>
          <w:szCs w:val="20"/>
        </w:rPr>
      </w:pPr>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sz w:val="20"/>
          <w:szCs w:val="20"/>
        </w:rPr>
      </w:pPr>
      <w:bookmarkStart w:id="0" w:name="_GoBack"/>
      <w:bookmarkEnd w:id="0"/>
      <w:r>
        <w:rPr>
          <w:rFonts w:ascii="Verdana" w:hAnsi="Verdana"/>
          <w:i/>
          <w:sz w:val="20"/>
          <w:szCs w:val="20"/>
        </w:rPr>
        <w:t xml:space="preserve">Detailed information and statistics on the development throughout Switzerland and on the developments in the various large regions can be </w:t>
      </w:r>
      <w:r>
        <w:rPr>
          <w:rFonts w:ascii="Verdana" w:hAnsi="Verdana"/>
          <w:i/>
          <w:sz w:val="20"/>
          <w:szCs w:val="20"/>
        </w:rPr>
        <w:t xml:space="preserve">found in the </w:t>
      </w:r>
      <w:hyperlink r:id="rId9">
        <w:r>
          <w:rPr>
            <w:rStyle w:val="Hyperlink"/>
            <w:rFonts w:ascii="Verdana" w:hAnsi="Verdana"/>
            <w:i/>
            <w:sz w:val="20"/>
            <w:szCs w:val="20"/>
          </w:rPr>
          <w:t>download area</w:t>
        </w:r>
      </w:hyperlink>
      <w:r>
        <w:rPr>
          <w:rFonts w:ascii="Verdana" w:hAnsi="Verdana"/>
          <w:i/>
          <w:sz w:val="20"/>
          <w:szCs w:val="20"/>
        </w:rPr>
        <w:t>.</w:t>
      </w: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sz w:val="20"/>
          <w:szCs w:val="20"/>
        </w:rPr>
      </w:pP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i/>
          <w:sz w:val="20"/>
          <w:szCs w:val="20"/>
        </w:rPr>
      </w:pPr>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ompatil Fact LT Pro" w:hAnsi="Compatil Fact LT Pro"/>
          <w:b/>
          <w:sz w:val="20"/>
          <w:szCs w:val="20"/>
        </w:rPr>
        <w:t>Rental offers for all of Switzerland (CHF/m2 per year)</w:t>
      </w: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mpatil Fact LT Pro" w:hAnsi="Compatil Fact LT Pro"/>
          <w:b/>
          <w:sz w:val="20"/>
          <w:szCs w:val="20"/>
        </w:rPr>
      </w:pPr>
    </w:p>
    <w:tbl>
      <w:tblPr>
        <w:tblStyle w:val="Tabellenraster"/>
        <w:tblW w:w="7927" w:type="dxa"/>
        <w:tblLayout w:type="fixed"/>
        <w:tblLook w:val="04A0" w:firstRow="1" w:lastRow="0" w:firstColumn="1" w:lastColumn="0" w:noHBand="0" w:noVBand="1"/>
      </w:tblPr>
      <w:tblGrid>
        <w:gridCol w:w="2126"/>
        <w:gridCol w:w="1449"/>
        <w:gridCol w:w="1452"/>
        <w:gridCol w:w="1634"/>
        <w:gridCol w:w="1266"/>
      </w:tblGrid>
      <w:tr w:rsidR="002839AB">
        <w:tc>
          <w:tcPr>
            <w:tcW w:w="2126" w:type="dxa"/>
            <w:tcBorders>
              <w:left w:val="nil"/>
              <w:bottom w:val="dotted" w:sz="4" w:space="0" w:color="000000"/>
              <w:right w:val="nil"/>
            </w:tcBorders>
            <w:shd w:val="clear" w:color="auto" w:fill="auto"/>
            <w:vAlign w:val="center"/>
          </w:tcPr>
          <w:p w:rsidR="002839AB" w:rsidRDefault="00283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b/>
                <w:sz w:val="20"/>
                <w:szCs w:val="20"/>
              </w:rPr>
            </w:pPr>
          </w:p>
        </w:tc>
        <w:tc>
          <w:tcPr>
            <w:tcW w:w="1449"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01.06.2023</w:t>
            </w:r>
          </w:p>
        </w:tc>
        <w:tc>
          <w:tcPr>
            <w:tcW w:w="1452"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30.06.2023</w:t>
            </w:r>
          </w:p>
        </w:tc>
        <w:tc>
          <w:tcPr>
            <w:tcW w:w="1634"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Change</w:t>
            </w:r>
          </w:p>
        </w:tc>
        <w:tc>
          <w:tcPr>
            <w:tcW w:w="1266"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in %</w:t>
            </w:r>
          </w:p>
        </w:tc>
      </w:tr>
      <w:tr w:rsidR="002839AB">
        <w:tc>
          <w:tcPr>
            <w:tcW w:w="2126" w:type="dxa"/>
            <w:tcBorders>
              <w:top w:val="dotted" w:sz="4" w:space="0" w:color="000000"/>
              <w:left w:val="nil"/>
              <w:right w:val="nil"/>
            </w:tcBorders>
            <w:shd w:val="clear" w:color="auto" w:fill="D2D6E4"/>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sz w:val="20"/>
                <w:szCs w:val="20"/>
              </w:rPr>
            </w:pPr>
            <w:r>
              <w:rPr>
                <w:rFonts w:ascii="Compatil Fact LT Pro" w:hAnsi="Compatil Fact LT Pro"/>
                <w:sz w:val="20"/>
                <w:szCs w:val="20"/>
              </w:rPr>
              <w:t>Mon</w:t>
            </w:r>
            <w:r>
              <w:rPr>
                <w:rFonts w:ascii="Compatil Fact LT Pro" w:hAnsi="Compatil Fact LT Pro"/>
                <w:sz w:val="20"/>
                <w:szCs w:val="20"/>
              </w:rPr>
              <w:t>th</w:t>
            </w:r>
          </w:p>
        </w:tc>
        <w:tc>
          <w:tcPr>
            <w:tcW w:w="1449"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272.3</w:t>
            </w:r>
          </w:p>
        </w:tc>
        <w:tc>
          <w:tcPr>
            <w:tcW w:w="1452"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270.4</w:t>
            </w:r>
          </w:p>
        </w:tc>
        <w:tc>
          <w:tcPr>
            <w:tcW w:w="1634"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-1.9</w:t>
            </w:r>
          </w:p>
        </w:tc>
        <w:tc>
          <w:tcPr>
            <w:tcW w:w="1266"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w:t>
            </w:r>
            <w:r>
              <w:rPr>
                <w:rFonts w:ascii="Compatil Fact LT Pro" w:hAnsi="Compatil Fact LT Pro"/>
                <w:sz w:val="20"/>
                <w:szCs w:val="20"/>
              </w:rPr>
              <w:t>0.7%</w:t>
            </w:r>
          </w:p>
        </w:tc>
      </w:tr>
      <w:tr w:rsidR="002839AB">
        <w:tc>
          <w:tcPr>
            <w:tcW w:w="2126" w:type="dxa"/>
            <w:tcBorders>
              <w:left w:val="nil"/>
              <w:bottom w:val="dotted" w:sz="4" w:space="0" w:color="000000"/>
              <w:right w:val="nil"/>
            </w:tcBorders>
            <w:shd w:val="clear" w:color="auto" w:fill="auto"/>
            <w:vAlign w:val="center"/>
          </w:tcPr>
          <w:p w:rsidR="002839AB" w:rsidRDefault="00283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b/>
                <w:sz w:val="20"/>
                <w:szCs w:val="20"/>
              </w:rPr>
            </w:pPr>
          </w:p>
        </w:tc>
        <w:tc>
          <w:tcPr>
            <w:tcW w:w="1449"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30.06.2022</w:t>
            </w:r>
          </w:p>
        </w:tc>
        <w:tc>
          <w:tcPr>
            <w:tcW w:w="1452"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30.06.2023</w:t>
            </w:r>
          </w:p>
        </w:tc>
        <w:tc>
          <w:tcPr>
            <w:tcW w:w="1634"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cs="Arial"/>
                <w:b/>
                <w:sz w:val="20"/>
                <w:szCs w:val="20"/>
              </w:rPr>
            </w:pPr>
            <w:r>
              <w:rPr>
                <w:rFonts w:ascii="Compatil Fact LT Pro" w:hAnsi="Compatil Fact LT Pro" w:cs="Arial"/>
                <w:b/>
                <w:sz w:val="20"/>
                <w:szCs w:val="20"/>
              </w:rPr>
              <w:t>Change</w:t>
            </w:r>
          </w:p>
        </w:tc>
        <w:tc>
          <w:tcPr>
            <w:tcW w:w="1266"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cs="Arial"/>
                <w:b/>
                <w:sz w:val="20"/>
                <w:szCs w:val="20"/>
              </w:rPr>
            </w:pPr>
            <w:r>
              <w:rPr>
                <w:rFonts w:ascii="Compatil Fact LT Pro" w:hAnsi="Compatil Fact LT Pro" w:cs="Arial"/>
                <w:b/>
                <w:sz w:val="20"/>
                <w:szCs w:val="20"/>
              </w:rPr>
              <w:t>in %</w:t>
            </w:r>
          </w:p>
        </w:tc>
      </w:tr>
      <w:tr w:rsidR="002839AB">
        <w:tc>
          <w:tcPr>
            <w:tcW w:w="2126" w:type="dxa"/>
            <w:tcBorders>
              <w:top w:val="dotted" w:sz="4" w:space="0" w:color="000000"/>
              <w:left w:val="nil"/>
              <w:right w:val="nil"/>
            </w:tcBorders>
            <w:shd w:val="clear" w:color="auto" w:fill="D2D6E4"/>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sz w:val="20"/>
                <w:szCs w:val="20"/>
              </w:rPr>
            </w:pPr>
            <w:r>
              <w:rPr>
                <w:rFonts w:ascii="Compatil Fact LT Pro" w:hAnsi="Compatil Fact LT Pro"/>
                <w:sz w:val="20"/>
                <w:szCs w:val="20"/>
              </w:rPr>
              <w:t>Year</w:t>
            </w:r>
          </w:p>
        </w:tc>
        <w:tc>
          <w:tcPr>
            <w:tcW w:w="1449"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262.4</w:t>
            </w:r>
          </w:p>
        </w:tc>
        <w:tc>
          <w:tcPr>
            <w:tcW w:w="1452"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270.4</w:t>
            </w:r>
          </w:p>
        </w:tc>
        <w:tc>
          <w:tcPr>
            <w:tcW w:w="1634"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8.0</w:t>
            </w:r>
          </w:p>
        </w:tc>
        <w:tc>
          <w:tcPr>
            <w:tcW w:w="1266"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3.1%</w:t>
            </w:r>
          </w:p>
        </w:tc>
      </w:tr>
    </w:tbl>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mpatil Fact LT Pro" w:hAnsi="Compatil Fact LT Pro"/>
          <w:b/>
          <w:sz w:val="20"/>
          <w:szCs w:val="20"/>
          <w:u w:val="single"/>
        </w:rPr>
      </w:pP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mpatil Fact LT Pro" w:hAnsi="Compatil Fact LT Pro"/>
          <w:b/>
          <w:sz w:val="20"/>
          <w:szCs w:val="20"/>
          <w:u w:val="single"/>
        </w:rPr>
      </w:pPr>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ompatil Fact LT Pro" w:hAnsi="Compatil Fact LT Pro"/>
          <w:b/>
          <w:sz w:val="20"/>
          <w:szCs w:val="20"/>
        </w:rPr>
        <w:t>Purchase offers for single-family homes all of Switzerland (CHF/m2)</w:t>
      </w: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mpatil Fact LT Pro" w:hAnsi="Compatil Fact LT Pro"/>
          <w:b/>
          <w:sz w:val="20"/>
          <w:szCs w:val="20"/>
        </w:rPr>
      </w:pPr>
    </w:p>
    <w:tbl>
      <w:tblPr>
        <w:tblStyle w:val="Tabellenraster"/>
        <w:tblW w:w="7927" w:type="dxa"/>
        <w:tblLayout w:type="fixed"/>
        <w:tblLook w:val="04A0" w:firstRow="1" w:lastRow="0" w:firstColumn="1" w:lastColumn="0" w:noHBand="0" w:noVBand="1"/>
      </w:tblPr>
      <w:tblGrid>
        <w:gridCol w:w="2126"/>
        <w:gridCol w:w="1449"/>
        <w:gridCol w:w="1452"/>
        <w:gridCol w:w="1634"/>
        <w:gridCol w:w="1266"/>
      </w:tblGrid>
      <w:tr w:rsidR="002839AB">
        <w:tc>
          <w:tcPr>
            <w:tcW w:w="2126" w:type="dxa"/>
            <w:tcBorders>
              <w:left w:val="nil"/>
              <w:bottom w:val="dotted" w:sz="4" w:space="0" w:color="000000"/>
              <w:right w:val="nil"/>
            </w:tcBorders>
            <w:shd w:val="clear" w:color="auto" w:fill="auto"/>
            <w:vAlign w:val="center"/>
          </w:tcPr>
          <w:p w:rsidR="002839AB" w:rsidRDefault="00283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b/>
                <w:sz w:val="20"/>
                <w:szCs w:val="20"/>
              </w:rPr>
            </w:pPr>
          </w:p>
        </w:tc>
        <w:tc>
          <w:tcPr>
            <w:tcW w:w="1449"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01.06.2023</w:t>
            </w:r>
          </w:p>
        </w:tc>
        <w:tc>
          <w:tcPr>
            <w:tcW w:w="1452"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30.06.2023</w:t>
            </w:r>
          </w:p>
        </w:tc>
        <w:tc>
          <w:tcPr>
            <w:tcW w:w="1634"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Change</w:t>
            </w:r>
          </w:p>
        </w:tc>
        <w:tc>
          <w:tcPr>
            <w:tcW w:w="1266"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in %</w:t>
            </w:r>
          </w:p>
        </w:tc>
      </w:tr>
      <w:tr w:rsidR="002839AB">
        <w:tc>
          <w:tcPr>
            <w:tcW w:w="2126" w:type="dxa"/>
            <w:tcBorders>
              <w:top w:val="dotted" w:sz="4" w:space="0" w:color="000000"/>
              <w:left w:val="nil"/>
              <w:right w:val="nil"/>
            </w:tcBorders>
            <w:shd w:val="clear" w:color="auto" w:fill="D2D6E4"/>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sz w:val="20"/>
                <w:szCs w:val="20"/>
              </w:rPr>
            </w:pPr>
            <w:r>
              <w:rPr>
                <w:rFonts w:ascii="Compatil Fact LT Pro" w:hAnsi="Compatil Fact LT Pro"/>
                <w:sz w:val="20"/>
                <w:szCs w:val="20"/>
              </w:rPr>
              <w:t>Mon</w:t>
            </w:r>
            <w:r>
              <w:rPr>
                <w:rFonts w:ascii="Compatil Fact LT Pro" w:hAnsi="Compatil Fact LT Pro"/>
                <w:sz w:val="20"/>
                <w:szCs w:val="20"/>
              </w:rPr>
              <w:t>th</w:t>
            </w:r>
          </w:p>
        </w:tc>
        <w:tc>
          <w:tcPr>
            <w:tcW w:w="1449"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7415.8</w:t>
            </w:r>
          </w:p>
        </w:tc>
        <w:tc>
          <w:tcPr>
            <w:tcW w:w="1452"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7439.4</w:t>
            </w:r>
          </w:p>
        </w:tc>
        <w:tc>
          <w:tcPr>
            <w:tcW w:w="1634"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23.6</w:t>
            </w:r>
          </w:p>
        </w:tc>
        <w:tc>
          <w:tcPr>
            <w:tcW w:w="1266"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0.3%</w:t>
            </w:r>
          </w:p>
        </w:tc>
      </w:tr>
      <w:tr w:rsidR="002839AB">
        <w:tc>
          <w:tcPr>
            <w:tcW w:w="2126" w:type="dxa"/>
            <w:tcBorders>
              <w:left w:val="nil"/>
              <w:bottom w:val="dotted" w:sz="4" w:space="0" w:color="000000"/>
              <w:right w:val="nil"/>
            </w:tcBorders>
            <w:shd w:val="clear" w:color="auto" w:fill="auto"/>
            <w:vAlign w:val="center"/>
          </w:tcPr>
          <w:p w:rsidR="002839AB" w:rsidRDefault="00283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b/>
                <w:sz w:val="20"/>
                <w:szCs w:val="20"/>
              </w:rPr>
            </w:pPr>
          </w:p>
        </w:tc>
        <w:tc>
          <w:tcPr>
            <w:tcW w:w="1449"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30.06.2022</w:t>
            </w:r>
          </w:p>
        </w:tc>
        <w:tc>
          <w:tcPr>
            <w:tcW w:w="1452"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30.06.2023</w:t>
            </w:r>
          </w:p>
        </w:tc>
        <w:tc>
          <w:tcPr>
            <w:tcW w:w="1634"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Change</w:t>
            </w:r>
          </w:p>
        </w:tc>
        <w:tc>
          <w:tcPr>
            <w:tcW w:w="1266"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cs="Arial"/>
                <w:b/>
                <w:sz w:val="20"/>
                <w:szCs w:val="20"/>
              </w:rPr>
              <w:t>in %</w:t>
            </w:r>
          </w:p>
        </w:tc>
      </w:tr>
      <w:tr w:rsidR="002839AB">
        <w:tc>
          <w:tcPr>
            <w:tcW w:w="2126" w:type="dxa"/>
            <w:tcBorders>
              <w:top w:val="dotted" w:sz="4" w:space="0" w:color="000000"/>
              <w:left w:val="nil"/>
              <w:right w:val="nil"/>
            </w:tcBorders>
            <w:shd w:val="clear" w:color="auto" w:fill="D2D6E4"/>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sz w:val="20"/>
                <w:szCs w:val="20"/>
              </w:rPr>
            </w:pPr>
            <w:r>
              <w:rPr>
                <w:rFonts w:ascii="Compatil Fact LT Pro" w:hAnsi="Compatil Fact LT Pro"/>
                <w:sz w:val="20"/>
                <w:szCs w:val="20"/>
              </w:rPr>
              <w:t>Year</w:t>
            </w:r>
          </w:p>
        </w:tc>
        <w:tc>
          <w:tcPr>
            <w:tcW w:w="1449"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7415.3</w:t>
            </w:r>
          </w:p>
        </w:tc>
        <w:tc>
          <w:tcPr>
            <w:tcW w:w="1452"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7439.4</w:t>
            </w:r>
          </w:p>
        </w:tc>
        <w:tc>
          <w:tcPr>
            <w:tcW w:w="1634"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24.1</w:t>
            </w:r>
          </w:p>
        </w:tc>
        <w:tc>
          <w:tcPr>
            <w:tcW w:w="1266"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0.3%</w:t>
            </w:r>
          </w:p>
        </w:tc>
      </w:tr>
    </w:tbl>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mpatil Fact LT Pro" w:hAnsi="Compatil Fact LT Pro"/>
          <w:sz w:val="20"/>
          <w:szCs w:val="20"/>
        </w:rPr>
      </w:pPr>
    </w:p>
    <w:p w:rsidR="002839AB" w:rsidRDefault="0028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mpatil Fact LT Pro" w:hAnsi="Compatil Fact LT Pro"/>
          <w:sz w:val="20"/>
          <w:szCs w:val="20"/>
        </w:rPr>
      </w:pPr>
    </w:p>
    <w:p w:rsidR="002839AB" w:rsidRDefault="00344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ompatil Fact LT Pro" w:hAnsi="Compatil Fact LT Pro"/>
          <w:b/>
          <w:sz w:val="20"/>
          <w:szCs w:val="20"/>
        </w:rPr>
        <w:t xml:space="preserve">Purchase offers for </w:t>
      </w:r>
      <w:r>
        <w:rPr>
          <w:rFonts w:ascii="Compatil Fact LT Pro" w:hAnsi="Compatil Fact LT Pro"/>
          <w:b/>
          <w:sz w:val="20"/>
          <w:szCs w:val="20"/>
        </w:rPr>
        <w:t>condominiums all of Switzerland (CHF/m2)</w:t>
      </w:r>
    </w:p>
    <w:p w:rsidR="002839AB" w:rsidRDefault="002839AB">
      <w:pPr>
        <w:rPr>
          <w:rFonts w:ascii="Compatil Fact LT Pro" w:hAnsi="Compatil Fact LT Pro"/>
          <w:sz w:val="20"/>
          <w:szCs w:val="20"/>
        </w:rPr>
      </w:pPr>
    </w:p>
    <w:tbl>
      <w:tblPr>
        <w:tblStyle w:val="Tabellenraster"/>
        <w:tblW w:w="7927" w:type="dxa"/>
        <w:tblLayout w:type="fixed"/>
        <w:tblLook w:val="04A0" w:firstRow="1" w:lastRow="0" w:firstColumn="1" w:lastColumn="0" w:noHBand="0" w:noVBand="1"/>
      </w:tblPr>
      <w:tblGrid>
        <w:gridCol w:w="2126"/>
        <w:gridCol w:w="1449"/>
        <w:gridCol w:w="1452"/>
        <w:gridCol w:w="1634"/>
        <w:gridCol w:w="1266"/>
      </w:tblGrid>
      <w:tr w:rsidR="002839AB">
        <w:tc>
          <w:tcPr>
            <w:tcW w:w="2126" w:type="dxa"/>
            <w:tcBorders>
              <w:left w:val="nil"/>
              <w:bottom w:val="dotted" w:sz="4" w:space="0" w:color="000000"/>
              <w:right w:val="nil"/>
            </w:tcBorders>
            <w:shd w:val="clear" w:color="auto" w:fill="auto"/>
            <w:vAlign w:val="center"/>
          </w:tcPr>
          <w:p w:rsidR="002839AB" w:rsidRDefault="00283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b/>
                <w:sz w:val="20"/>
                <w:szCs w:val="20"/>
              </w:rPr>
            </w:pPr>
          </w:p>
        </w:tc>
        <w:tc>
          <w:tcPr>
            <w:tcW w:w="1449"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01.06.2023</w:t>
            </w:r>
          </w:p>
        </w:tc>
        <w:tc>
          <w:tcPr>
            <w:tcW w:w="1452"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30.06.2023</w:t>
            </w:r>
          </w:p>
        </w:tc>
        <w:tc>
          <w:tcPr>
            <w:tcW w:w="1634"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Change</w:t>
            </w:r>
          </w:p>
        </w:tc>
        <w:tc>
          <w:tcPr>
            <w:tcW w:w="1266"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in %</w:t>
            </w:r>
          </w:p>
        </w:tc>
      </w:tr>
      <w:tr w:rsidR="002839AB">
        <w:tc>
          <w:tcPr>
            <w:tcW w:w="2126" w:type="dxa"/>
            <w:tcBorders>
              <w:top w:val="dotted" w:sz="4" w:space="0" w:color="000000"/>
              <w:left w:val="nil"/>
              <w:right w:val="nil"/>
            </w:tcBorders>
            <w:shd w:val="clear" w:color="auto" w:fill="D2D6E4"/>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sz w:val="20"/>
                <w:szCs w:val="20"/>
              </w:rPr>
            </w:pPr>
            <w:r>
              <w:rPr>
                <w:rFonts w:ascii="Compatil Fact LT Pro" w:hAnsi="Compatil Fact LT Pro"/>
                <w:sz w:val="20"/>
                <w:szCs w:val="20"/>
              </w:rPr>
              <w:t>Mon</w:t>
            </w:r>
            <w:r>
              <w:rPr>
                <w:rFonts w:ascii="Compatil Fact LT Pro" w:hAnsi="Compatil Fact LT Pro"/>
                <w:sz w:val="20"/>
                <w:szCs w:val="20"/>
              </w:rPr>
              <w:t>th</w:t>
            </w:r>
          </w:p>
        </w:tc>
        <w:tc>
          <w:tcPr>
            <w:tcW w:w="1449"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8629.8</w:t>
            </w:r>
          </w:p>
        </w:tc>
        <w:tc>
          <w:tcPr>
            <w:tcW w:w="1452"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8599.4</w:t>
            </w:r>
          </w:p>
        </w:tc>
        <w:tc>
          <w:tcPr>
            <w:tcW w:w="1634"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-30.4</w:t>
            </w:r>
          </w:p>
        </w:tc>
        <w:tc>
          <w:tcPr>
            <w:tcW w:w="1266"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w:t>
            </w:r>
            <w:r>
              <w:rPr>
                <w:rFonts w:ascii="Compatil Fact LT Pro" w:hAnsi="Compatil Fact LT Pro"/>
                <w:sz w:val="20"/>
                <w:szCs w:val="20"/>
              </w:rPr>
              <w:t>0.4%</w:t>
            </w:r>
          </w:p>
        </w:tc>
      </w:tr>
      <w:tr w:rsidR="002839AB">
        <w:tc>
          <w:tcPr>
            <w:tcW w:w="2126" w:type="dxa"/>
            <w:tcBorders>
              <w:left w:val="nil"/>
              <w:bottom w:val="dotted" w:sz="4" w:space="0" w:color="000000"/>
              <w:right w:val="nil"/>
            </w:tcBorders>
            <w:shd w:val="clear" w:color="auto" w:fill="auto"/>
            <w:vAlign w:val="center"/>
          </w:tcPr>
          <w:p w:rsidR="002839AB" w:rsidRDefault="00283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b/>
                <w:sz w:val="20"/>
                <w:szCs w:val="20"/>
              </w:rPr>
            </w:pPr>
          </w:p>
        </w:tc>
        <w:tc>
          <w:tcPr>
            <w:tcW w:w="1449"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30.06.2022</w:t>
            </w:r>
          </w:p>
        </w:tc>
        <w:tc>
          <w:tcPr>
            <w:tcW w:w="1452" w:type="dxa"/>
            <w:tcBorders>
              <w:left w:val="nil"/>
              <w:bottom w:val="dotted" w:sz="4" w:space="0" w:color="000000"/>
              <w:right w:val="nil"/>
            </w:tcBorders>
            <w:shd w:val="clear" w:color="auto" w:fill="auto"/>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30.06.2023</w:t>
            </w:r>
          </w:p>
        </w:tc>
        <w:tc>
          <w:tcPr>
            <w:tcW w:w="1634"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b/>
                <w:sz w:val="20"/>
                <w:szCs w:val="20"/>
              </w:rPr>
              <w:t>Change</w:t>
            </w:r>
          </w:p>
        </w:tc>
        <w:tc>
          <w:tcPr>
            <w:tcW w:w="1266" w:type="dxa"/>
            <w:tcBorders>
              <w:left w:val="nil"/>
              <w:bottom w:val="dotted" w:sz="4" w:space="0" w:color="000000"/>
              <w:right w:val="nil"/>
            </w:tcBorders>
            <w:shd w:val="clear" w:color="auto" w:fill="auto"/>
            <w:vAlign w:val="center"/>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b/>
                <w:sz w:val="20"/>
                <w:szCs w:val="20"/>
              </w:rPr>
            </w:pPr>
            <w:r>
              <w:rPr>
                <w:rFonts w:ascii="Compatil Fact LT Pro" w:hAnsi="Compatil Fact LT Pro" w:cs="Arial"/>
                <w:b/>
                <w:sz w:val="20"/>
                <w:szCs w:val="20"/>
              </w:rPr>
              <w:t>in %</w:t>
            </w:r>
          </w:p>
        </w:tc>
      </w:tr>
      <w:tr w:rsidR="002839AB">
        <w:tc>
          <w:tcPr>
            <w:tcW w:w="2126" w:type="dxa"/>
            <w:tcBorders>
              <w:top w:val="dotted" w:sz="4" w:space="0" w:color="000000"/>
              <w:left w:val="nil"/>
              <w:right w:val="nil"/>
            </w:tcBorders>
            <w:shd w:val="clear" w:color="auto" w:fill="D2D6E4"/>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mpatil Fact LT Pro" w:hAnsi="Compatil Fact LT Pro"/>
                <w:sz w:val="20"/>
                <w:szCs w:val="20"/>
              </w:rPr>
            </w:pPr>
            <w:r>
              <w:rPr>
                <w:rFonts w:ascii="Compatil Fact LT Pro" w:hAnsi="Compatil Fact LT Pro"/>
                <w:sz w:val="20"/>
                <w:szCs w:val="20"/>
              </w:rPr>
              <w:t>Year</w:t>
            </w:r>
          </w:p>
        </w:tc>
        <w:tc>
          <w:tcPr>
            <w:tcW w:w="1449"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8416.1</w:t>
            </w:r>
          </w:p>
        </w:tc>
        <w:tc>
          <w:tcPr>
            <w:tcW w:w="1452"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8599.4</w:t>
            </w:r>
          </w:p>
        </w:tc>
        <w:tc>
          <w:tcPr>
            <w:tcW w:w="1634"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183.3</w:t>
            </w:r>
          </w:p>
        </w:tc>
        <w:tc>
          <w:tcPr>
            <w:tcW w:w="1266" w:type="dxa"/>
            <w:tcBorders>
              <w:top w:val="dotted" w:sz="4" w:space="0" w:color="000000"/>
              <w:left w:val="nil"/>
              <w:right w:val="nil"/>
            </w:tcBorders>
            <w:shd w:val="clear" w:color="auto" w:fill="D2D6E4"/>
            <w:vAlign w:val="bottom"/>
          </w:tcPr>
          <w:p w:rsidR="002839AB" w:rsidRDefault="00344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ompatil Fact LT Pro" w:hAnsi="Compatil Fact LT Pro"/>
                <w:sz w:val="20"/>
                <w:szCs w:val="20"/>
              </w:rPr>
            </w:pPr>
            <w:r>
              <w:rPr>
                <w:rFonts w:ascii="Compatil Fact LT Pro" w:hAnsi="Compatil Fact LT Pro"/>
                <w:sz w:val="20"/>
                <w:szCs w:val="20"/>
              </w:rPr>
              <w:t>2.2%</w:t>
            </w:r>
          </w:p>
        </w:tc>
      </w:tr>
    </w:tbl>
    <w:p w:rsidR="002839AB" w:rsidRDefault="002839AB">
      <w:pPr>
        <w:pStyle w:val="StandardWeb"/>
        <w:spacing w:before="135" w:beforeAutospacing="0" w:after="270" w:afterAutospacing="0"/>
        <w:jc w:val="both"/>
      </w:pPr>
    </w:p>
    <w:sectPr w:rsidR="002839AB">
      <w:headerReference w:type="default" r:id="rId10"/>
      <w:footerReference w:type="default" r:id="rId11"/>
      <w:pgSz w:w="11906" w:h="16838"/>
      <w:pgMar w:top="2268" w:right="1700" w:bottom="1134" w:left="1701" w:header="992" w:footer="635"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97" w:rsidRDefault="00344997">
      <w:r>
        <w:separator/>
      </w:r>
    </w:p>
  </w:endnote>
  <w:endnote w:type="continuationSeparator" w:id="0">
    <w:p w:rsidR="00344997" w:rsidRDefault="0034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Times New Roman"/>
    <w:charset w:val="EE"/>
    <w:family w:val="roman"/>
    <w:pitch w:val="variable"/>
  </w:font>
  <w:font w:name="ヒラギノ角ゴ Pro W3">
    <w:panose1 w:val="00000000000000000000"/>
    <w:charset w:val="80"/>
    <w:family w:val="roman"/>
    <w:notTrueType/>
    <w:pitch w:val="default"/>
  </w:font>
  <w:font w:name="Compatil Fact LT Pro">
    <w:altName w:val="Times New Roman"/>
    <w:charset w:val="EE"/>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rriweather Sans">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AB" w:rsidRDefault="00344997">
    <w:pPr>
      <w:pStyle w:val="Fuzeile1"/>
      <w:tabs>
        <w:tab w:val="right" w:pos="8479"/>
        <w:tab w:val="left" w:pos="8496"/>
      </w:tabs>
      <w:rPr>
        <w:sz w:val="12"/>
        <w:szCs w:val="12"/>
        <w:lang w:eastAsia="en-GB"/>
      </w:rPr>
    </w:pPr>
    <w:r>
      <w:rPr>
        <w:sz w:val="12"/>
        <w:szCs w:val="12"/>
        <w:lang w:eastAsia="en-GB"/>
      </w:rPr>
      <w:t xml:space="preserve">SMG Swiss Marketplace Group AG, </w:t>
    </w:r>
    <w:proofErr w:type="spellStart"/>
    <w:r>
      <w:rPr>
        <w:sz w:val="12"/>
        <w:szCs w:val="12"/>
        <w:lang w:eastAsia="en-GB"/>
      </w:rPr>
      <w:t>Thurgauerstrasse</w:t>
    </w:r>
    <w:proofErr w:type="spellEnd"/>
    <w:r>
      <w:rPr>
        <w:sz w:val="12"/>
        <w:szCs w:val="12"/>
        <w:lang w:eastAsia="en-GB"/>
      </w:rPr>
      <w:t xml:space="preserve"> 36, 8050 Zürich, </w:t>
    </w:r>
    <w:proofErr w:type="spellStart"/>
    <w:r>
      <w:rPr>
        <w:sz w:val="12"/>
        <w:szCs w:val="12"/>
        <w:lang w:eastAsia="en-GB"/>
      </w:rPr>
      <w:t>media@swissmarketplace.group</w:t>
    </w:r>
    <w:proofErr w:type="spellEnd"/>
    <w:r>
      <w:rPr>
        <w:sz w:val="12"/>
        <w:szCs w:val="12"/>
        <w:lang w:eastAsia="en-GB"/>
      </w:rPr>
      <w:t>, immoscout24.ch</w:t>
    </w:r>
    <w:r>
      <w:fldChar w:fldCharType="begin"/>
    </w:r>
    <w:r>
      <w:rPr>
        <w:sz w:val="12"/>
        <w:szCs w:val="12"/>
        <w:lang w:eastAsia="en-GB"/>
      </w:rPr>
      <w:instrText>USERPROPERTY  \* MERGEFORMAT</w:instrText>
    </w:r>
    <w:r>
      <w:rPr>
        <w:sz w:val="12"/>
        <w:szCs w:val="12"/>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97" w:rsidRDefault="00344997">
      <w:r>
        <w:separator/>
      </w:r>
    </w:p>
  </w:footnote>
  <w:footnote w:type="continuationSeparator" w:id="0">
    <w:p w:rsidR="00344997" w:rsidRDefault="0034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AB" w:rsidRDefault="00344997">
    <w:pPr>
      <w:pStyle w:val="Kopfzeile1"/>
      <w:tabs>
        <w:tab w:val="clear" w:pos="9072"/>
        <w:tab w:val="right" w:pos="8479"/>
        <w:tab w:val="left" w:pos="8496"/>
      </w:tabs>
      <w:ind w:left="-993"/>
      <w:jc w:val="right"/>
      <w:rPr>
        <w:rFonts w:ascii="Times New Roman" w:eastAsia="Times New Roman" w:hAnsi="Times New Roman"/>
        <w:color w:val="auto"/>
        <w:lang w:val="de-CH"/>
      </w:rPr>
    </w:pPr>
    <w:r>
      <w:rPr>
        <w:noProof/>
        <w:lang w:val="de-CH"/>
      </w:rPr>
      <w:drawing>
        <wp:inline distT="0" distB="0" distL="0" distR="0">
          <wp:extent cx="1011555" cy="609600"/>
          <wp:effectExtent l="0" t="0" r="0" b="0"/>
          <wp:docPr id="1" name="Grafik 1" descr="C:\Users\sebsin\Downloads\Scout24_IMMO_Logo_Stacked_Solid_w3000p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sebsin\Downloads\Scout24_IMMO_Logo_Stacked_Solid_w3000px_RGB.jpg"/>
                  <pic:cNvPicPr>
                    <a:picLocks noChangeAspect="1" noChangeArrowheads="1"/>
                  </pic:cNvPicPr>
                </pic:nvPicPr>
                <pic:blipFill>
                  <a:blip r:embed="rId1"/>
                  <a:stretch>
                    <a:fillRect/>
                  </a:stretch>
                </pic:blipFill>
                <pic:spPr bwMode="auto">
                  <a:xfrm>
                    <a:off x="0" y="0"/>
                    <a:ext cx="1011555" cy="609600"/>
                  </a:xfrm>
                  <a:prstGeom prst="rect">
                    <a:avLst/>
                  </a:prstGeom>
                </pic:spPr>
              </pic:pic>
            </a:graphicData>
          </a:graphic>
        </wp:inline>
      </w:drawing>
    </w:r>
    <w:r>
      <w:rPr>
        <w:noProof/>
        <w:lang w:val="de-CH"/>
      </w:rPr>
      <w:drawing>
        <wp:anchor distT="0" distB="0" distL="0" distR="114300" simplePos="0" relativeHeight="3" behindDoc="0" locked="0" layoutInCell="0" allowOverlap="1">
          <wp:simplePos x="0" y="0"/>
          <wp:positionH relativeFrom="column">
            <wp:align>left</wp:align>
          </wp:positionH>
          <wp:positionV relativeFrom="paragraph">
            <wp:posOffset>6985</wp:posOffset>
          </wp:positionV>
          <wp:extent cx="2332990" cy="662305"/>
          <wp:effectExtent l="0" t="0" r="0" b="0"/>
          <wp:wrapSquare wrapText="bothSides"/>
          <wp:docPr id="2" name="Bild 5" descr="Swiss Real Estate Offer Index_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descr="Swiss Real Estate Offer Index_Logo">
                    <a:hlinkClick r:id="rId2"/>
                  </pic:cNvPr>
                  <pic:cNvPicPr>
                    <a:picLocks noChangeAspect="1" noChangeArrowheads="1"/>
                  </pic:cNvPicPr>
                </pic:nvPicPr>
                <pic:blipFill>
                  <a:blip r:embed="rId3"/>
                  <a:stretch>
                    <a:fillRect/>
                  </a:stretch>
                </pic:blipFill>
                <pic:spPr bwMode="auto">
                  <a:xfrm>
                    <a:off x="0" y="0"/>
                    <a:ext cx="2332990" cy="662305"/>
                  </a:xfrm>
                  <a:prstGeom prst="rect">
                    <a:avLst/>
                  </a:prstGeom>
                </pic:spPr>
              </pic:pic>
            </a:graphicData>
          </a:graphic>
        </wp:anchor>
      </w:drawing>
    </w:r>
    <w:r>
      <w:fldChar w:fldCharType="begin"/>
    </w:r>
    <w:r>
      <w:instrText>USERPROPERTY  \* MERGEFORMAT</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AB"/>
    <w:rsid w:val="002839AB"/>
    <w:rsid w:val="00344997"/>
    <w:rsid w:val="006D1F38"/>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78F0A-7DC8-4D06-88F3-D4522CD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CH"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ucida Grande" w:eastAsia="ヒラギノ角ゴ Pro W3" w:hAnsi="Lucida Grande"/>
      <w:color w:val="000000"/>
      <w:sz w:val="22"/>
      <w:szCs w:val="24"/>
      <w:lang w:eastAsia="en-US"/>
    </w:rPr>
  </w:style>
  <w:style w:type="paragraph" w:styleId="berschrift2">
    <w:name w:val="heading 2"/>
    <w:basedOn w:val="Standard"/>
    <w:uiPriority w:val="9"/>
    <w:qFormat/>
    <w:locked/>
    <w:rsid w:val="009200DC"/>
    <w:pPr>
      <w:spacing w:beforeAutospacing="1" w:afterAutospacing="1"/>
      <w:outlineLvl w:val="1"/>
    </w:pPr>
    <w:rPr>
      <w:rFonts w:ascii="Times New Roman" w:eastAsia="Times New Roman" w:hAnsi="Times New Roman"/>
      <w:b/>
      <w:bCs/>
      <w:color w:val="auto"/>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qFormat/>
    <w:rPr>
      <w:color w:val="0400FF"/>
      <w:sz w:val="22"/>
      <w:u w:val="single"/>
    </w:rPr>
  </w:style>
  <w:style w:type="character" w:styleId="Hyperlink">
    <w:name w:val="Hyperlink"/>
    <w:locked/>
    <w:rsid w:val="006F6518"/>
    <w:rPr>
      <w:color w:val="0000FF"/>
      <w:u w:val="single"/>
    </w:rPr>
  </w:style>
  <w:style w:type="character" w:customStyle="1" w:styleId="SprechblasentextZchn">
    <w:name w:val="Sprechblasentext Zchn"/>
    <w:link w:val="Sprechblasentext"/>
    <w:qFormat/>
    <w:rsid w:val="003F117F"/>
    <w:rPr>
      <w:rFonts w:ascii="Lucida Grande" w:eastAsia="ヒラギノ角ゴ Pro W3" w:hAnsi="Lucida Grande" w:cs="Lucida Grande"/>
      <w:color w:val="000000"/>
      <w:sz w:val="18"/>
      <w:szCs w:val="18"/>
      <w:lang w:eastAsia="en-US"/>
    </w:rPr>
  </w:style>
  <w:style w:type="character" w:customStyle="1" w:styleId="KopfzeileZchn">
    <w:name w:val="Kopfzeile Zchn"/>
    <w:link w:val="Kopfzeile"/>
    <w:qFormat/>
    <w:rsid w:val="003754C9"/>
    <w:rPr>
      <w:rFonts w:ascii="Lucida Grande" w:eastAsia="ヒラギノ角ゴ Pro W3" w:hAnsi="Lucida Grande"/>
      <w:color w:val="000000"/>
      <w:sz w:val="22"/>
      <w:szCs w:val="24"/>
      <w:lang w:eastAsia="en-US"/>
    </w:rPr>
  </w:style>
  <w:style w:type="character" w:customStyle="1" w:styleId="FuzeileZchn">
    <w:name w:val="Fußzeile Zchn"/>
    <w:link w:val="Fuzeile"/>
    <w:qFormat/>
    <w:rsid w:val="003754C9"/>
    <w:rPr>
      <w:rFonts w:ascii="Lucida Grande" w:eastAsia="ヒラギノ角ゴ Pro W3" w:hAnsi="Lucida Grande"/>
      <w:color w:val="000000"/>
      <w:sz w:val="22"/>
      <w:szCs w:val="24"/>
      <w:lang w:eastAsia="en-US"/>
    </w:rPr>
  </w:style>
  <w:style w:type="character" w:styleId="Kommentarzeichen">
    <w:name w:val="annotation reference"/>
    <w:qFormat/>
    <w:locked/>
    <w:rsid w:val="00A44E95"/>
    <w:rPr>
      <w:sz w:val="16"/>
      <w:szCs w:val="16"/>
    </w:rPr>
  </w:style>
  <w:style w:type="character" w:customStyle="1" w:styleId="KommentartextZchn">
    <w:name w:val="Kommentartext Zchn"/>
    <w:link w:val="Kommentartext"/>
    <w:qFormat/>
    <w:rsid w:val="00A44E95"/>
    <w:rPr>
      <w:rFonts w:ascii="Lucida Grande" w:eastAsia="ヒラギノ角ゴ Pro W3" w:hAnsi="Lucida Grande"/>
      <w:color w:val="000000"/>
      <w:lang w:eastAsia="en-US"/>
    </w:rPr>
  </w:style>
  <w:style w:type="character" w:customStyle="1" w:styleId="KommentarthemaZchn">
    <w:name w:val="Kommentarthema Zchn"/>
    <w:link w:val="Kommentarthema"/>
    <w:qFormat/>
    <w:rsid w:val="00A44E95"/>
    <w:rPr>
      <w:rFonts w:ascii="Lucida Grande" w:eastAsia="ヒラギノ角ゴ Pro W3" w:hAnsi="Lucida Grande"/>
      <w:b/>
      <w:bCs/>
      <w:color w:val="000000"/>
      <w:lang w:eastAsia="en-US"/>
    </w:rPr>
  </w:style>
  <w:style w:type="character" w:customStyle="1" w:styleId="CompatilFactZchnZchn">
    <w:name w:val="Compatil Fact Zchn Zchn"/>
    <w:link w:val="CompatilFact"/>
    <w:qFormat/>
    <w:rsid w:val="00485954"/>
    <w:rPr>
      <w:rFonts w:ascii="Compatil Fact LT Pro" w:hAnsi="Compatil Fact LT Pro" w:cs="Arial"/>
      <w:lang w:eastAsia="de-DE" w:bidi="ar-SA"/>
    </w:rPr>
  </w:style>
  <w:style w:type="character" w:styleId="BesuchterHyperlink">
    <w:name w:val="FollowedHyperlink"/>
    <w:locked/>
    <w:rsid w:val="005E4543"/>
    <w:rPr>
      <w:color w:val="800080"/>
      <w:u w:val="single"/>
    </w:rPr>
  </w:style>
  <w:style w:type="character" w:styleId="Fett">
    <w:name w:val="Strong"/>
    <w:uiPriority w:val="22"/>
    <w:qFormat/>
    <w:locked/>
    <w:rsid w:val="003920AE"/>
    <w:rPr>
      <w:b/>
      <w:bCs/>
    </w:rPr>
  </w:style>
  <w:style w:type="character" w:customStyle="1" w:styleId="lead-text">
    <w:name w:val="lead-text"/>
    <w:qFormat/>
    <w:rsid w:val="00E4738A"/>
  </w:style>
  <w:style w:type="character" w:customStyle="1" w:styleId="data">
    <w:name w:val="data"/>
    <w:qFormat/>
    <w:rsid w:val="00BA179D"/>
  </w:style>
  <w:style w:type="character" w:customStyle="1" w:styleId="berschrift2Zchn">
    <w:name w:val="Überschrift 2 Zchn"/>
    <w:uiPriority w:val="9"/>
    <w:qFormat/>
    <w:rsid w:val="009200DC"/>
    <w:rPr>
      <w:b/>
      <w:bCs/>
      <w:sz w:val="36"/>
      <w:szCs w:val="36"/>
    </w:rPr>
  </w:style>
  <w:style w:type="character" w:customStyle="1" w:styleId="TitelZchn">
    <w:name w:val="Titel Zchn"/>
    <w:link w:val="Titel"/>
    <w:qFormat/>
    <w:rsid w:val="005457AF"/>
    <w:rPr>
      <w:rFonts w:ascii="Cambria" w:eastAsia="Times New Roman" w:hAnsi="Cambria" w:cs="Times New Roman"/>
      <w:b/>
      <w:bCs/>
      <w:color w:val="000000"/>
      <w:kern w:val="2"/>
      <w:sz w:val="32"/>
      <w:szCs w:val="32"/>
      <w:lang w:eastAsia="en-US"/>
    </w:rPr>
  </w:style>
  <w:style w:type="character" w:styleId="Hervorhebung">
    <w:name w:val="Emphasis"/>
    <w:basedOn w:val="Absatz-Standardschriftart"/>
    <w:uiPriority w:val="20"/>
    <w:qFormat/>
    <w:locked/>
    <w:rsid w:val="00A86087"/>
    <w:rPr>
      <w:i/>
      <w:iCs/>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Standard"/>
    <w:semiHidden/>
    <w:locked/>
    <w:rsid w:val="00D96853"/>
    <w:pPr>
      <w:spacing w:before="60" w:line="240" w:lineRule="atLeast"/>
      <w:ind w:left="284" w:hanging="284"/>
    </w:pPr>
    <w:rPr>
      <w:rFonts w:ascii="Compatil Fact LT Pro" w:eastAsia="Times New Roman" w:hAnsi="Compatil Fact LT Pro"/>
      <w:color w:val="auto"/>
      <w:spacing w:val="6"/>
      <w:sz w:val="20"/>
      <w:szCs w:val="20"/>
      <w:lang w:eastAsia="de-DE"/>
    </w:rPr>
  </w:style>
  <w:style w:type="paragraph" w:styleId="Beschriftung">
    <w:name w:val="caption"/>
    <w:basedOn w:val="Standard"/>
    <w:qFormat/>
    <w:pPr>
      <w:suppressLineNumbers/>
      <w:spacing w:before="120" w:after="120"/>
    </w:pPr>
    <w:rPr>
      <w:rFonts w:cs="Lucida Sans"/>
      <w:i/>
      <w:iCs/>
      <w:sz w:val="24"/>
    </w:rPr>
  </w:style>
  <w:style w:type="paragraph" w:customStyle="1" w:styleId="Index">
    <w:name w:val="Index"/>
    <w:basedOn w:val="Standard"/>
    <w:qFormat/>
    <w:pPr>
      <w:suppressLineNumbers/>
    </w:pPr>
    <w:rPr>
      <w:rFonts w:cs="Lucida Sans"/>
    </w:rPr>
  </w:style>
  <w:style w:type="paragraph" w:customStyle="1" w:styleId="Kopfzeile1">
    <w:name w:val="Kopfzeile1"/>
    <w:qFormat/>
    <w:pPr>
      <w:tabs>
        <w:tab w:val="center" w:pos="4536"/>
        <w:tab w:val="right" w:pos="9072"/>
      </w:tabs>
    </w:pPr>
    <w:rPr>
      <w:rFonts w:ascii="Verdana" w:eastAsia="ヒラギノ角ゴ Pro W3" w:hAnsi="Verdana"/>
      <w:color w:val="000000"/>
    </w:rPr>
  </w:style>
  <w:style w:type="paragraph" w:customStyle="1" w:styleId="Fuzeile1">
    <w:name w:val="Fußzeile1"/>
    <w:qFormat/>
    <w:pPr>
      <w:tabs>
        <w:tab w:val="center" w:pos="4536"/>
        <w:tab w:val="right" w:pos="9072"/>
      </w:tabs>
    </w:pPr>
    <w:rPr>
      <w:rFonts w:ascii="Verdana" w:eastAsia="ヒラギノ角ゴ Pro W3" w:hAnsi="Verdana"/>
      <w:color w:val="000000"/>
    </w:rPr>
  </w:style>
  <w:style w:type="paragraph" w:customStyle="1" w:styleId="TableGrid1">
    <w:name w:val="Table Grid1"/>
    <w:qFormat/>
    <w:rPr>
      <w:rFonts w:eastAsia="ヒラギノ角ゴ Pro W3"/>
      <w:color w:val="000000"/>
      <w:sz w:val="22"/>
    </w:rPr>
  </w:style>
  <w:style w:type="paragraph" w:customStyle="1" w:styleId="FreieForm">
    <w:name w:val="Freie Form"/>
    <w:qFormat/>
    <w:rPr>
      <w:rFonts w:eastAsia="ヒラギノ角ゴ Pro W3"/>
      <w:color w:val="000000"/>
      <w:sz w:val="22"/>
    </w:rPr>
  </w:style>
  <w:style w:type="paragraph" w:styleId="Sprechblasentext">
    <w:name w:val="Balloon Text"/>
    <w:basedOn w:val="Standard"/>
    <w:link w:val="SprechblasentextZchn"/>
    <w:qFormat/>
    <w:locked/>
    <w:rsid w:val="003F117F"/>
    <w:rPr>
      <w:sz w:val="18"/>
      <w:szCs w:val="18"/>
    </w:rPr>
  </w:style>
  <w:style w:type="paragraph" w:customStyle="1" w:styleId="DunkleListe-Akzent51">
    <w:name w:val="Dunkle Liste - Akzent 51"/>
    <w:basedOn w:val="Standard"/>
    <w:uiPriority w:val="34"/>
    <w:qFormat/>
    <w:rsid w:val="005C0EA5"/>
    <w:pPr>
      <w:ind w:left="720"/>
    </w:pPr>
    <w:rPr>
      <w:rFonts w:ascii="Calibri" w:eastAsia="Calibri" w:hAnsi="Calibri" w:cs="Calibri"/>
      <w:color w:val="auto"/>
      <w:szCs w:val="22"/>
    </w:rPr>
  </w:style>
  <w:style w:type="paragraph" w:customStyle="1" w:styleId="HeaderandFooter">
    <w:name w:val="Header and Footer"/>
    <w:basedOn w:val="Standard"/>
    <w:qFormat/>
  </w:style>
  <w:style w:type="paragraph" w:styleId="Kopfzeile">
    <w:name w:val="header"/>
    <w:basedOn w:val="Standard"/>
    <w:link w:val="KopfzeileZchn"/>
    <w:locked/>
    <w:rsid w:val="003754C9"/>
    <w:pPr>
      <w:tabs>
        <w:tab w:val="center" w:pos="4536"/>
        <w:tab w:val="right" w:pos="9072"/>
      </w:tabs>
    </w:pPr>
  </w:style>
  <w:style w:type="paragraph" w:styleId="Fuzeile">
    <w:name w:val="footer"/>
    <w:basedOn w:val="Standard"/>
    <w:link w:val="FuzeileZchn"/>
    <w:locked/>
    <w:rsid w:val="003754C9"/>
    <w:pPr>
      <w:tabs>
        <w:tab w:val="center" w:pos="4536"/>
        <w:tab w:val="right" w:pos="9072"/>
      </w:tabs>
    </w:pPr>
  </w:style>
  <w:style w:type="paragraph" w:styleId="Kommentartext">
    <w:name w:val="annotation text"/>
    <w:basedOn w:val="Standard"/>
    <w:link w:val="KommentartextZchn"/>
    <w:qFormat/>
    <w:locked/>
    <w:rsid w:val="00A44E95"/>
    <w:rPr>
      <w:sz w:val="20"/>
      <w:szCs w:val="20"/>
    </w:rPr>
  </w:style>
  <w:style w:type="paragraph" w:styleId="Kommentarthema">
    <w:name w:val="annotation subject"/>
    <w:basedOn w:val="Kommentartext"/>
    <w:next w:val="Kommentartext"/>
    <w:link w:val="KommentarthemaZchn"/>
    <w:qFormat/>
    <w:locked/>
    <w:rsid w:val="00A44E95"/>
    <w:rPr>
      <w:b/>
      <w:bCs/>
    </w:rPr>
  </w:style>
  <w:style w:type="paragraph" w:styleId="StandardWeb">
    <w:name w:val="Normal (Web)"/>
    <w:basedOn w:val="Standard"/>
    <w:uiPriority w:val="99"/>
    <w:unhideWhenUsed/>
    <w:qFormat/>
    <w:locked/>
    <w:rsid w:val="009C2922"/>
    <w:pPr>
      <w:spacing w:beforeAutospacing="1" w:afterAutospacing="1"/>
    </w:pPr>
    <w:rPr>
      <w:rFonts w:ascii="Times New Roman" w:eastAsia="Calibri" w:hAnsi="Times New Roman"/>
      <w:color w:val="auto"/>
      <w:sz w:val="24"/>
      <w:lang w:eastAsia="de-CH"/>
    </w:rPr>
  </w:style>
  <w:style w:type="paragraph" w:customStyle="1" w:styleId="paragraph">
    <w:name w:val="paragraph"/>
    <w:basedOn w:val="Standard"/>
    <w:qFormat/>
    <w:rsid w:val="00677863"/>
    <w:pPr>
      <w:spacing w:beforeAutospacing="1" w:afterAutospacing="1"/>
    </w:pPr>
    <w:rPr>
      <w:rFonts w:ascii="Times New Roman" w:eastAsia="Times New Roman" w:hAnsi="Times New Roman"/>
      <w:color w:val="auto"/>
      <w:sz w:val="24"/>
      <w:lang w:eastAsia="de-CH"/>
    </w:rPr>
  </w:style>
  <w:style w:type="paragraph" w:customStyle="1" w:styleId="CompatilFact">
    <w:name w:val="Compatil Fact"/>
    <w:link w:val="CompatilFactZchnZchn"/>
    <w:qFormat/>
    <w:rsid w:val="00485954"/>
    <w:pPr>
      <w:spacing w:before="60" w:line="240" w:lineRule="atLeast"/>
    </w:pPr>
    <w:rPr>
      <w:rFonts w:ascii="Compatil Fact LT Pro" w:hAnsi="Compatil Fact LT Pro" w:cs="Arial"/>
      <w:lang w:eastAsia="de-DE"/>
    </w:rPr>
  </w:style>
  <w:style w:type="paragraph" w:styleId="Titel">
    <w:name w:val="Title"/>
    <w:basedOn w:val="Standard"/>
    <w:next w:val="Standard"/>
    <w:link w:val="TitelZchn"/>
    <w:qFormat/>
    <w:locked/>
    <w:rsid w:val="005457AF"/>
    <w:pPr>
      <w:spacing w:before="240" w:after="60"/>
      <w:jc w:val="center"/>
      <w:outlineLvl w:val="0"/>
    </w:pPr>
    <w:rPr>
      <w:rFonts w:ascii="Cambria" w:eastAsia="Times New Roman" w:hAnsi="Cambria"/>
      <w:b/>
      <w:bCs/>
      <w:kern w:val="2"/>
      <w:sz w:val="32"/>
      <w:szCs w:val="32"/>
    </w:rPr>
  </w:style>
  <w:style w:type="paragraph" w:customStyle="1" w:styleId="Standard2">
    <w:name w:val="Standard2"/>
    <w:qFormat/>
    <w:rsid w:val="008F4112"/>
    <w:rPr>
      <w:rFonts w:ascii="Merriweather Sans" w:eastAsia="Merriweather Sans" w:hAnsi="Merriweather Sans" w:cs="Merriweather Sans"/>
      <w:sz w:val="22"/>
      <w:szCs w:val="22"/>
      <w:lang w:eastAsia="de-DE"/>
    </w:rPr>
  </w:style>
  <w:style w:type="paragraph" w:customStyle="1" w:styleId="Titel1">
    <w:name w:val="Titel1"/>
    <w:basedOn w:val="Standard"/>
    <w:qFormat/>
    <w:rsid w:val="006423F5"/>
    <w:pPr>
      <w:spacing w:beforeAutospacing="1" w:afterAutospacing="1"/>
    </w:pPr>
    <w:rPr>
      <w:rFonts w:ascii="Times New Roman" w:eastAsia="Times New Roman" w:hAnsi="Times New Roman"/>
      <w:color w:val="auto"/>
      <w:sz w:val="24"/>
      <w:lang w:eastAsia="de-CH"/>
    </w:rPr>
  </w:style>
  <w:style w:type="table" w:styleId="Tabellenraster">
    <w:name w:val="Table Grid"/>
    <w:basedOn w:val="NormaleTabelle"/>
    <w:rsid w:val="0017386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473D1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azi.ch/angebotsindiz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moscout24.ch/immobilien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moscout24.ch/de/immobilieninde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azicifi.ch/produkt/swiss-real-estate-offer-inde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274B-F0CB-4ED3-8DBA-FB3D94D0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Company>media swiss group</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Stefan</dc:creator>
  <dc:description/>
  <cp:lastModifiedBy>Sinemus Sebastian</cp:lastModifiedBy>
  <cp:revision>30</cp:revision>
  <cp:lastPrinted>2022-02-01T19:37:00Z</cp:lastPrinted>
  <dcterms:created xsi:type="dcterms:W3CDTF">2023-07-03T04:44:00Z</dcterms:created>
  <dcterms:modified xsi:type="dcterms:W3CDTF">2023-07-03T16:41:00Z</dcterms:modified>
  <dc:language>en-GB</dc:language>
</cp:coreProperties>
</file>